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BC1" w14:textId="77777777" w:rsidR="007C1BB7" w:rsidRPr="00445B08" w:rsidRDefault="007C1BB7" w:rsidP="00344101">
      <w:pPr>
        <w:spacing w:after="0"/>
        <w:rPr>
          <w:rFonts w:ascii="Calibri" w:eastAsia="Calibri" w:hAnsi="Calibri" w:cs="Calibri"/>
          <w:b/>
          <w:color w:val="153D63" w:themeColor="text2" w:themeTint="E6"/>
          <w:sz w:val="48"/>
          <w:szCs w:val="48"/>
          <w:lang w:val="es-ES"/>
        </w:rPr>
      </w:pPr>
    </w:p>
    <w:p w14:paraId="666E0083" w14:textId="3DDEB8FB" w:rsidR="004A67C4" w:rsidRPr="00DF7C4C" w:rsidRDefault="004A67C4" w:rsidP="00344101">
      <w:pPr>
        <w:spacing w:after="0"/>
        <w:rPr>
          <w:rFonts w:ascii="Calibri" w:eastAsia="Calibri" w:hAnsi="Calibri" w:cs="Calibri"/>
          <w:b/>
          <w:bCs/>
          <w:color w:val="FC5000"/>
          <w:sz w:val="48"/>
          <w:szCs w:val="48"/>
          <w:lang w:val="es-ES"/>
        </w:rPr>
      </w:pPr>
      <w:r w:rsidRPr="00445B08">
        <w:rPr>
          <w:rFonts w:ascii="Calibri" w:eastAsia="Calibri" w:hAnsi="Calibri" w:cs="Calibri"/>
          <w:b/>
          <w:bCs/>
          <w:color w:val="FC5000"/>
          <w:sz w:val="48"/>
          <w:szCs w:val="48"/>
          <w:lang w:val="es-ES"/>
        </w:rPr>
        <w:t>NOTA DE PRENSA</w:t>
      </w:r>
    </w:p>
    <w:p w14:paraId="648BF1E2" w14:textId="77777777" w:rsidR="00DF7C4C" w:rsidRDefault="00DF7C4C" w:rsidP="00344101">
      <w:pPr>
        <w:spacing w:after="0"/>
        <w:rPr>
          <w:rFonts w:ascii="Calibri" w:eastAsia="Calibri" w:hAnsi="Calibri" w:cs="Calibri"/>
          <w:b/>
          <w:color w:val="153D63" w:themeColor="text2" w:themeTint="E6"/>
          <w:sz w:val="44"/>
          <w:szCs w:val="44"/>
          <w:lang w:val="es-ES"/>
        </w:rPr>
      </w:pPr>
    </w:p>
    <w:p w14:paraId="244C8EC2" w14:textId="206BD9B6" w:rsidR="25F0F5B8" w:rsidRPr="00DF7C4C" w:rsidRDefault="25F0F5B8" w:rsidP="00344101">
      <w:pPr>
        <w:spacing w:after="0"/>
        <w:rPr>
          <w:rFonts w:ascii="Calibri" w:eastAsia="Calibri" w:hAnsi="Calibri" w:cs="Calibri"/>
          <w:b/>
          <w:color w:val="153D63" w:themeColor="text2" w:themeTint="E6"/>
          <w:sz w:val="44"/>
          <w:szCs w:val="44"/>
          <w:lang w:val="es-ES"/>
        </w:rPr>
      </w:pPr>
      <w:r w:rsidRPr="00DF7C4C">
        <w:rPr>
          <w:rFonts w:ascii="Calibri" w:eastAsia="Calibri" w:hAnsi="Calibri" w:cs="Calibri"/>
          <w:b/>
          <w:color w:val="153D63" w:themeColor="text2" w:themeTint="E6"/>
          <w:sz w:val="44"/>
          <w:szCs w:val="44"/>
          <w:lang w:val="es-ES"/>
        </w:rPr>
        <w:t>CUANDO LA PANTALLA TAMBIÉN DUELE</w:t>
      </w:r>
    </w:p>
    <w:p w14:paraId="67BE8510" w14:textId="0F6D7389" w:rsidR="00FB733F" w:rsidRPr="00DF7C4C" w:rsidRDefault="00D54613" w:rsidP="00D54613">
      <w:pPr>
        <w:pStyle w:val="Ttulo2"/>
        <w:spacing w:before="0" w:after="299"/>
        <w:jc w:val="both"/>
        <w:rPr>
          <w:rFonts w:ascii="Calibri" w:eastAsia="Calibri" w:hAnsi="Calibri" w:cs="Calibri"/>
          <w:i/>
          <w:color w:val="153D63" w:themeColor="text2" w:themeTint="E6"/>
          <w:sz w:val="28"/>
          <w:szCs w:val="28"/>
          <w:lang w:val="es-ES"/>
        </w:rPr>
      </w:pPr>
      <w:r w:rsidRPr="00DF7C4C">
        <w:rPr>
          <w:rFonts w:ascii="Calibri" w:eastAsia="Calibri" w:hAnsi="Calibri" w:cs="Calibri"/>
          <w:b/>
          <w:color w:val="153D63" w:themeColor="text2" w:themeTint="E6"/>
          <w:sz w:val="28"/>
          <w:szCs w:val="28"/>
          <w:lang w:val="es-ES"/>
        </w:rPr>
        <w:t xml:space="preserve">Madrid, 30 de mayo de 2025 - </w:t>
      </w:r>
      <w:r w:rsidR="25F0F5B8" w:rsidRPr="00DF7C4C">
        <w:rPr>
          <w:rFonts w:ascii="Calibri" w:eastAsia="Calibri" w:hAnsi="Calibri" w:cs="Calibri"/>
          <w:i/>
          <w:color w:val="153D63" w:themeColor="text2" w:themeTint="E6"/>
          <w:sz w:val="28"/>
          <w:szCs w:val="28"/>
          <w:lang w:val="es-ES"/>
        </w:rPr>
        <w:t xml:space="preserve">Ciberviolencia de género sin huellas: </w:t>
      </w:r>
      <w:proofErr w:type="spellStart"/>
      <w:r w:rsidR="005215D1" w:rsidRPr="00DF7C4C">
        <w:rPr>
          <w:rFonts w:ascii="Calibri" w:eastAsia="Calibri" w:hAnsi="Calibri" w:cs="Calibri"/>
          <w:i/>
          <w:color w:val="153D63" w:themeColor="text2" w:themeTint="E6"/>
          <w:sz w:val="28"/>
          <w:szCs w:val="28"/>
          <w:lang w:val="es-ES"/>
        </w:rPr>
        <w:t>bE</w:t>
      </w:r>
      <w:proofErr w:type="spellEnd"/>
      <w:r w:rsidR="005215D1" w:rsidRPr="00DF7C4C">
        <w:rPr>
          <w:rFonts w:ascii="Calibri" w:eastAsia="Calibri" w:hAnsi="Calibri" w:cs="Calibri"/>
          <w:i/>
          <w:color w:val="153D63" w:themeColor="text2" w:themeTint="E6"/>
          <w:sz w:val="28"/>
          <w:szCs w:val="28"/>
          <w:lang w:val="es-ES"/>
        </w:rPr>
        <w:t xml:space="preserve">-SAFE </w:t>
      </w:r>
      <w:r w:rsidR="25F0F5B8" w:rsidRPr="00DF7C4C">
        <w:rPr>
          <w:rFonts w:ascii="Calibri" w:eastAsia="Calibri" w:hAnsi="Calibri" w:cs="Calibri"/>
          <w:i/>
          <w:color w:val="153D63" w:themeColor="text2" w:themeTint="E6"/>
          <w:sz w:val="28"/>
          <w:szCs w:val="28"/>
          <w:lang w:val="es-ES"/>
        </w:rPr>
        <w:t>el proyecto europeo que da voz a los adolescentes y abre los ojos a los adultos</w:t>
      </w:r>
    </w:p>
    <w:p w14:paraId="0DAE858F" w14:textId="645D670D" w:rsidR="25F0F5B8" w:rsidRPr="00445B08" w:rsidRDefault="25F0F5B8" w:rsidP="618FBDCB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El proyecto </w:t>
      </w:r>
      <w:proofErr w:type="spellStart"/>
      <w:r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>bE</w:t>
      </w:r>
      <w:proofErr w:type="spellEnd"/>
      <w:r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>-SAFE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, financiado por la Unión Europea a través del programa CERV, ha </w:t>
      </w:r>
      <w:r w:rsidR="0DD7D01A" w:rsidRPr="00445B08">
        <w:rPr>
          <w:rFonts w:ascii="Calibri" w:eastAsia="Calibri" w:hAnsi="Calibri" w:cs="Calibri"/>
          <w:color w:val="153D63" w:themeColor="text2" w:themeTint="E6"/>
          <w:lang w:val="es-ES"/>
        </w:rPr>
        <w:t>realizado una macroencuesta</w:t>
      </w:r>
      <w:r w:rsidR="2987E152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europea en Croacia, Portugal y España</w:t>
      </w:r>
      <w:r w:rsidR="0DD7D01A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, </w:t>
      </w:r>
      <w:r w:rsidR="736D6A74" w:rsidRPr="00445B08">
        <w:rPr>
          <w:rFonts w:ascii="Calibri" w:eastAsia="Calibri" w:hAnsi="Calibri" w:cs="Calibri"/>
          <w:color w:val="153D63" w:themeColor="text2" w:themeTint="E6"/>
          <w:lang w:val="es-ES"/>
        </w:rPr>
        <w:t>donde</w:t>
      </w:r>
      <w:r w:rsidR="155DC260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bajo la dirección del Lobby Europeo de las Mujeres</w:t>
      </w:r>
      <w:r w:rsidR="736D6A74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</w:t>
      </w:r>
      <w:r w:rsidR="5E42E7C7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los Colegios Profesionales de Ciencia Política y Sociología </w:t>
      </w:r>
      <w:r w:rsidR="19BC9B3B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han realizado </w:t>
      </w:r>
      <w:r w:rsidR="736D6A74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grupos </w:t>
      </w:r>
      <w:r w:rsidR="0DD7D01A" w:rsidRPr="00445B08">
        <w:rPr>
          <w:rFonts w:ascii="Calibri" w:eastAsia="Calibri" w:hAnsi="Calibri" w:cs="Calibri"/>
          <w:color w:val="153D63" w:themeColor="text2" w:themeTint="E6"/>
          <w:lang w:val="es-ES"/>
        </w:rPr>
        <w:t>de discusión y entrevistas con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más de 220 adolescentes</w:t>
      </w:r>
      <w:r w:rsidR="506609D7" w:rsidRPr="00445B08">
        <w:rPr>
          <w:rFonts w:ascii="Calibri" w:eastAsia="Calibri" w:hAnsi="Calibri" w:cs="Calibri"/>
          <w:color w:val="153D63" w:themeColor="text2" w:themeTint="E6"/>
          <w:lang w:val="es-ES"/>
        </w:rPr>
        <w:t>,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docentes y </w:t>
      </w:r>
      <w:r w:rsidR="036C1058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fuerzas y cuerpos 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de seguridad en centros educativos de Madrid, Murcia y Asturias. </w:t>
      </w:r>
      <w:r w:rsidR="04BA1818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Y talleres en un </w:t>
      </w:r>
      <w:r w:rsidR="36019856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formativos en un </w:t>
      </w:r>
      <w:r w:rsidR="04BA1818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número similar. 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Los datos</w:t>
      </w:r>
      <w:r w:rsidR="12B99482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son contundentes: </w:t>
      </w:r>
      <w:r w:rsidR="1E6E4DA8"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>tres de cada cuatro chicas han</w:t>
      </w:r>
      <w:r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 xml:space="preserve"> sufrido violencia digital de género</w:t>
      </w:r>
      <w:r w:rsidR="3FCE92A6"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 xml:space="preserve"> </w:t>
      </w:r>
      <w:r w:rsidR="3FCE92A6" w:rsidRPr="00445B08">
        <w:rPr>
          <w:rFonts w:ascii="Calibri" w:eastAsia="Calibri" w:hAnsi="Calibri" w:cs="Calibri"/>
          <w:color w:val="153D63" w:themeColor="text2" w:themeTint="E6"/>
          <w:lang w:val="es-ES"/>
        </w:rPr>
        <w:t>(Instituto de las mujeres, 2025)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, y en más del 60% de los casos, los compañeros no actúan ni denuncian lo que ven</w:t>
      </w:r>
      <w:r w:rsidR="257650FC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(Fundación ANAR, 2024)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.</w:t>
      </w:r>
    </w:p>
    <w:p w14:paraId="6529A6AE" w14:textId="51490A86" w:rsidR="00533814" w:rsidRPr="00533814" w:rsidRDefault="25F0F5B8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La investigación revela que esta violencia no ocurre solo en parejas. También es grupal, estructural, y se expresa en dinámicas de poder, silencio cómplice y normalización</w:t>
      </w:r>
      <w:r w:rsidR="73E9F40D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, </w:t>
      </w:r>
      <w:r w:rsidR="499B6255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sorprendentemente </w:t>
      </w:r>
      <w:r w:rsidR="7EE432F6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aún más </w:t>
      </w:r>
      <w:r w:rsidR="73E9F40D" w:rsidRPr="00445B08">
        <w:rPr>
          <w:rFonts w:ascii="Calibri" w:eastAsia="Calibri" w:hAnsi="Calibri" w:cs="Calibri"/>
          <w:color w:val="153D63" w:themeColor="text2" w:themeTint="E6"/>
          <w:lang w:val="es-ES"/>
        </w:rPr>
        <w:t>entre los más jóvenes 12-14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. Muchos chicos no actúan por miedo a ser excluidos, por no “quedar mal” o simplemente por indiferencia. Y eso deja a las víctimas completamente solas.</w:t>
      </w:r>
      <w:r w:rsidR="3B4F3256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También señala a un profesorado</w:t>
      </w:r>
      <w:r w:rsidR="08DB70BF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sobrecargado de trabajo, que demanda formación, reconocimiento y recursos adecuados</w:t>
      </w:r>
      <w:r w:rsidR="00575895">
        <w:rPr>
          <w:rFonts w:ascii="Calibri" w:eastAsia="Calibri" w:hAnsi="Calibri" w:cs="Calibri"/>
          <w:color w:val="153D63" w:themeColor="text2" w:themeTint="E6"/>
          <w:lang w:val="es-ES"/>
        </w:rPr>
        <w:t xml:space="preserve"> </w:t>
      </w:r>
      <w:r w:rsidR="08DB70BF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para afrontar estas dinámicas. A esto se suma la escasa participación de </w:t>
      </w:r>
      <w:r w:rsidR="00533814">
        <w:rPr>
          <w:rFonts w:ascii="Calibri" w:eastAsia="Calibri" w:hAnsi="Calibri" w:cs="Calibri"/>
          <w:color w:val="153D63" w:themeColor="text2" w:themeTint="E6"/>
          <w:lang w:val="es-ES"/>
        </w:rPr>
        <w:t>los progenitores</w:t>
      </w:r>
      <w:r w:rsidR="08DB70BF"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 en las formaciones escolares, así como el desconocimiento del lenguaje y tecnologías que utilizan sus hijos.</w:t>
      </w:r>
    </w:p>
    <w:p w14:paraId="09EC3DC0" w14:textId="2E5F4284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La violencia ya no siempre se manifiesta de forma visible. Con el aumento del uso de dispositivos digitales entre la población joven, han emergido nuevas formas de agresión menos 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evidentes,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 pero igualmente dañinas, como el ciberacoso o la violencia digital de género. Esta problemática, creciente entre adolescentes, ha sido el foco del proyecto europeo </w:t>
      </w:r>
      <w:proofErr w:type="spellStart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bE</w:t>
      </w:r>
      <w:proofErr w:type="spellEnd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-SAFE, que busca visibilizar y abordar esta realidad desde un enfoque educativo y preventivo.</w:t>
      </w:r>
    </w:p>
    <w:p w14:paraId="4709AEBD" w14:textId="77777777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</w:p>
    <w:p w14:paraId="05043053" w14:textId="77777777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</w:p>
    <w:p w14:paraId="0CBEA324" w14:textId="61EC3203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b/>
          <w:bCs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lastRenderedPageBreak/>
        <w:t>Espacios de reflexión: el caso del cinefórum “</w:t>
      </w:r>
      <w:proofErr w:type="spellStart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bE</w:t>
      </w:r>
      <w:proofErr w:type="spellEnd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 xml:space="preserve">-SAFE y </w:t>
      </w:r>
      <w:proofErr w:type="spellStart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Adolescence</w:t>
      </w:r>
      <w:proofErr w:type="spellEnd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”</w:t>
      </w:r>
    </w:p>
    <w:p w14:paraId="7F82F2A6" w14:textId="3D6F802F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Como parte de sus actividades de sensibilización, el proyecto organizó el pasado 29 de mayo en Madrid un cinefórum que reunió a estudiantes, docentes e investigadores. A través de escenas de la serie británica </w:t>
      </w:r>
      <w:r>
        <w:rPr>
          <w:rFonts w:ascii="Calibri" w:eastAsia="Calibri" w:hAnsi="Calibri" w:cs="Calibri"/>
          <w:color w:val="153D63" w:themeColor="text2" w:themeTint="E6"/>
          <w:lang w:val="es-ES"/>
        </w:rPr>
        <w:t xml:space="preserve">de Netflix </w:t>
      </w:r>
      <w:proofErr w:type="spellStart"/>
      <w:r w:rsidRPr="00533814">
        <w:rPr>
          <w:rFonts w:ascii="Calibri" w:eastAsia="Calibri" w:hAnsi="Calibri" w:cs="Calibri"/>
          <w:i/>
          <w:iCs/>
          <w:color w:val="153D63" w:themeColor="text2" w:themeTint="E6"/>
          <w:lang w:val="es-ES"/>
        </w:rPr>
        <w:t>Adolescence</w:t>
      </w:r>
      <w:proofErr w:type="spellEnd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, se abordaron temas como el control emocional, el chantaje, la exposición pública y los discursos de poder en entornos digitales.</w:t>
      </w:r>
    </w:p>
    <w:p w14:paraId="7ECF3F75" w14:textId="77777777" w:rsid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Uno de los temas centrales del evento fue la necesidad de entender que la violencia de género digital </w:t>
      </w:r>
      <w:r>
        <w:rPr>
          <w:rFonts w:ascii="Calibri" w:eastAsia="Calibri" w:hAnsi="Calibri" w:cs="Calibri"/>
          <w:color w:val="153D63" w:themeColor="text2" w:themeTint="E6"/>
          <w:lang w:val="es-ES"/>
        </w:rPr>
        <w:t xml:space="preserve">como muestra la serie 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no es un problema individual,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 ni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 de un chico malo, sino síntoma de un sistema que socializa de forma desigual desde la familia, la escuela y las redes. </w:t>
      </w:r>
    </w:p>
    <w:p w14:paraId="4086DA51" w14:textId="0F4F902D" w:rsidR="00533814" w:rsidRPr="00533814" w:rsidRDefault="00533814" w:rsidP="00533814">
      <w:pPr>
        <w:spacing w:before="240" w:after="240"/>
        <w:jc w:val="both"/>
        <w:rPr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También se puso de relieve una creciente brecha ideológica entre chicos y chicas, en parte alimentada por contenidos digitales y discursos </w:t>
      </w:r>
      <w:proofErr w:type="spellStart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polarizantes</w:t>
      </w:r>
      <w:proofErr w:type="spellEnd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.</w:t>
      </w:r>
      <w:r>
        <w:rPr>
          <w:rFonts w:ascii="Calibri" w:eastAsia="Calibri" w:hAnsi="Calibri" w:cs="Calibri"/>
          <w:color w:val="153D63" w:themeColor="text2" w:themeTint="E6"/>
          <w:lang w:val="es-ES"/>
        </w:rPr>
        <w:t xml:space="preserve"> </w:t>
      </w: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Y una especialización de las violencias, las chicas reciben más presión sexual y acoso con contenido íntimo; los chicos, aunque también sufren, lo hacen principalmente cuando se alejan del modelo de masculinidad dominante.</w:t>
      </w:r>
    </w:p>
    <w:p w14:paraId="6155D68F" w14:textId="160782E4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b/>
          <w:bCs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 xml:space="preserve">Involucrar a las familias y repensar el enfoque </w:t>
      </w:r>
    </w:p>
    <w:p w14:paraId="523F6A14" w14:textId="46F393B1" w:rsidR="00533814" w:rsidRPr="00533814" w:rsidRDefault="00533814" w:rsidP="00533814">
      <w:pPr>
        <w:spacing w:before="240" w:after="240"/>
        <w:jc w:val="both"/>
        <w:rPr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Una de las conclusiones más 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incómodas del proyecto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 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es que centrar las acciones solo en las víctimas no basta. Hay que mirar también al agresor, y al entorno que lo valida. Padres y madres deben estar presentes no solo para proteger a sus hijas, sino para prevenir que sus hijos se conviertan en parte del problema.</w:t>
      </w:r>
    </w:p>
    <w:p w14:paraId="483C741D" w14:textId="31E22FC3" w:rsid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Según los datos del estudio, las intervenciones educativas funcionan mucho mejor cuando involucran a las familias de quienes ejercen la violencia. Porque prevenir no es solo castigar: es educar, acompañar y hacerse cargo.</w:t>
      </w:r>
    </w:p>
    <w:p w14:paraId="362DDC57" w14:textId="691CBC2D" w:rsidR="00533814" w:rsidRPr="00533814" w:rsidRDefault="00533814" w:rsidP="00533814">
      <w:pPr>
        <w:pStyle w:val="Ttulo3"/>
        <w:spacing w:before="281" w:after="281"/>
        <w:jc w:val="both"/>
        <w:rPr>
          <w:rFonts w:ascii="Calibri" w:eastAsia="Calibri" w:hAnsi="Calibri" w:cs="Calibri"/>
          <w:b/>
          <w:bCs/>
          <w:color w:val="153D63" w:themeColor="text2" w:themeTint="E6"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bCs/>
          <w:color w:val="153D63" w:themeColor="text2" w:themeTint="E6"/>
          <w:sz w:val="24"/>
          <w:szCs w:val="24"/>
          <w:lang w:val="es-ES"/>
        </w:rPr>
        <w:t>L</w:t>
      </w:r>
      <w:r w:rsidRPr="00533814">
        <w:rPr>
          <w:rFonts w:ascii="Calibri" w:eastAsia="Calibri" w:hAnsi="Calibri" w:cs="Calibri"/>
          <w:b/>
          <w:bCs/>
          <w:color w:val="153D63" w:themeColor="text2" w:themeTint="E6"/>
          <w:sz w:val="24"/>
          <w:szCs w:val="24"/>
          <w:lang w:val="es-ES"/>
        </w:rPr>
        <w:t>as redes no crean la violencia… pero la amplifican</w:t>
      </w:r>
    </w:p>
    <w:p w14:paraId="63353176" w14:textId="42728718" w:rsidR="00533814" w:rsidRPr="00533814" w:rsidRDefault="00533814" w:rsidP="00533814">
      <w:pPr>
        <w:spacing w:before="240" w:after="240"/>
        <w:jc w:val="both"/>
        <w:rPr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La presión por encajar, el miedo al rechazo y la normalización de ciertos comportamientos no son nuevos. Pero en las redes se intensifican, se multiplican y se vuelven incontrolables, debido a ciertas características </w:t>
      </w:r>
      <w:r>
        <w:rPr>
          <w:rFonts w:ascii="Calibri" w:eastAsia="Calibri" w:hAnsi="Calibri" w:cs="Calibri"/>
          <w:color w:val="153D63" w:themeColor="text2" w:themeTint="E6"/>
          <w:lang w:val="es-ES"/>
        </w:rPr>
        <w:t>del medio que las favorecen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 xml:space="preserve"> como la anonimidad, la deshumanización, la ubicuidad, y el alcance. Por eso la solución no es desconectar, sino educar, cuestionar y dejar de mirar hacia otro lado.</w:t>
      </w:r>
    </w:p>
    <w:p w14:paraId="4A2D1C33" w14:textId="73663419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b/>
          <w:bCs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Propuestas desde el aula y más allá</w:t>
      </w:r>
    </w:p>
    <w:p w14:paraId="3F9F9B9B" w14:textId="77777777" w:rsidR="00533814" w:rsidRDefault="00533814" w:rsidP="00533814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lastRenderedPageBreak/>
        <w:t>Durante el cinefórum se recopilaron propuestas concretas sobre el papel de las escuelas, plataformas digitales, familias e instituciones públicas. Las conclusiones coincidieron en la necesidad de una respuesta coordinada y compartida.</w:t>
      </w:r>
    </w:p>
    <w:p w14:paraId="205856EB" w14:textId="77777777" w:rsidR="00533814" w:rsidRPr="00DF7C4C" w:rsidRDefault="00533814" w:rsidP="00DF7C4C">
      <w:pPr>
        <w:spacing w:before="240" w:after="240"/>
        <w:jc w:val="both"/>
        <w:rPr>
          <w:rFonts w:ascii="Calibri" w:eastAsia="Calibri" w:hAnsi="Calibri" w:cs="Calibri"/>
          <w:b/>
          <w:bCs/>
          <w:color w:val="153D63" w:themeColor="text2" w:themeTint="E6"/>
          <w:lang w:val="es-ES"/>
        </w:rPr>
      </w:pPr>
      <w:r w:rsidRPr="00DF7C4C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Más allá del diagnóstico: una propuesta educativa integral</w:t>
      </w:r>
    </w:p>
    <w:p w14:paraId="6DC1D446" w14:textId="0558DC1F" w:rsidR="00533814" w:rsidRPr="00533814" w:rsidRDefault="00533814" w:rsidP="00533814">
      <w:pPr>
        <w:spacing w:before="240" w:after="240"/>
        <w:jc w:val="both"/>
        <w:rPr>
          <w:color w:val="153D63" w:themeColor="text2" w:themeTint="E6"/>
          <w:lang w:val="es-ES"/>
        </w:rPr>
      </w:pPr>
      <w:proofErr w:type="spellStart"/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bE</w:t>
      </w:r>
      <w:proofErr w:type="spellEnd"/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-SAFE no se limita al análisis. Ha desarrollado materiales pedagógicos, guías para docentes y campañas de sensibilización con un enfoque participativo y creativo. Combina ciencia, </w:t>
      </w:r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comunidad y cultura para llegar donde los discursos institucionales no siempre alcanzan: al corazón de la adolescencia.</w:t>
      </w:r>
    </w:p>
    <w:p w14:paraId="40EB3A38" w14:textId="13398B3A" w:rsidR="00533814" w:rsidRPr="00533814" w:rsidRDefault="00533814" w:rsidP="00533814">
      <w:pPr>
        <w:spacing w:before="240" w:after="240"/>
        <w:jc w:val="both"/>
        <w:rPr>
          <w:rFonts w:ascii="Calibri" w:eastAsia="Calibri" w:hAnsi="Calibri" w:cs="Calibri"/>
          <w:b/>
          <w:bCs/>
          <w:color w:val="153D63" w:themeColor="text2" w:themeTint="E6"/>
          <w:lang w:val="es-ES"/>
        </w:rPr>
      </w:pPr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 xml:space="preserve">Sobre el proyecto </w:t>
      </w:r>
      <w:proofErr w:type="spellStart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bE</w:t>
      </w:r>
      <w:proofErr w:type="spellEnd"/>
      <w:r w:rsidRPr="00533814">
        <w:rPr>
          <w:rFonts w:ascii="Calibri" w:eastAsia="Calibri" w:hAnsi="Calibri" w:cs="Calibri"/>
          <w:b/>
          <w:bCs/>
          <w:color w:val="153D63" w:themeColor="text2" w:themeTint="E6"/>
          <w:lang w:val="es-ES"/>
        </w:rPr>
        <w:t>-SAFE</w:t>
      </w:r>
    </w:p>
    <w:p w14:paraId="397674E0" w14:textId="3D013CCC" w:rsidR="00445B08" w:rsidRPr="00533814" w:rsidRDefault="00533814" w:rsidP="001804A9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proofErr w:type="spellStart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bE</w:t>
      </w:r>
      <w:proofErr w:type="spellEnd"/>
      <w:r w:rsidRPr="00533814">
        <w:rPr>
          <w:rFonts w:ascii="Calibri" w:eastAsia="Calibri" w:hAnsi="Calibri" w:cs="Calibri"/>
          <w:color w:val="153D63" w:themeColor="text2" w:themeTint="E6"/>
          <w:lang w:val="es-ES"/>
        </w:rPr>
        <w:t>-SAFE es una iniciativa europea centrada en la prevención de la violencia digital de género en adolescentes. Desarrollado en España, Portugal y Croacia, el proyecto combina investigación académica, participación juvenil y estrategias educativas innovadoras para promover una convivencia digital segura y equitativa.</w:t>
      </w:r>
    </w:p>
    <w:p w14:paraId="1B879D5C" w14:textId="77777777" w:rsidR="001804A9" w:rsidRPr="00445B08" w:rsidRDefault="001804A9" w:rsidP="001804A9">
      <w:pPr>
        <w:spacing w:before="240" w:after="240"/>
        <w:jc w:val="both"/>
        <w:rPr>
          <w:rFonts w:ascii="Calibri" w:eastAsia="Calibri" w:hAnsi="Calibri" w:cs="Calibri"/>
          <w:b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b/>
          <w:color w:val="153D63" w:themeColor="text2" w:themeTint="E6"/>
          <w:lang w:val="es-ES"/>
        </w:rPr>
        <w:t>Para más información:</w:t>
      </w:r>
    </w:p>
    <w:p w14:paraId="09F273D9" w14:textId="77777777" w:rsidR="00533814" w:rsidRDefault="00533814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>
        <w:rPr>
          <w:rFonts w:ascii="Calibri" w:eastAsia="Calibri" w:hAnsi="Calibri" w:cs="Calibri"/>
          <w:color w:val="153D63" w:themeColor="text2" w:themeTint="E6"/>
          <w:lang w:val="es-ES"/>
        </w:rPr>
        <w:t>Departamento de Comunicación</w:t>
      </w:r>
    </w:p>
    <w:p w14:paraId="7C6E35DB" w14:textId="3955DAB9" w:rsidR="00533814" w:rsidRDefault="001804A9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 xml:space="preserve">Área de Investigación y Proyectos Europeos </w:t>
      </w:r>
    </w:p>
    <w:p w14:paraId="3CAC9E06" w14:textId="39C3EB38" w:rsidR="001804A9" w:rsidRPr="00445B08" w:rsidRDefault="001804A9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Colegio Profesional de Ciencia Política, Sociología, Relaciones Internacionales y Administración Pública de la Comunidad de Madrid.</w:t>
      </w:r>
    </w:p>
    <w:p w14:paraId="0E416A44" w14:textId="360413D6" w:rsidR="001804A9" w:rsidRPr="00445B08" w:rsidRDefault="001804A9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hyperlink r:id="rId10" w:history="1">
        <w:r w:rsidRPr="00445B08">
          <w:rPr>
            <w:rStyle w:val="Hipervnculo"/>
            <w:rFonts w:ascii="Calibri" w:eastAsia="Calibri" w:hAnsi="Calibri" w:cs="Calibri"/>
            <w:color w:val="508999" w:themeColor="hyperlink" w:themeTint="E6"/>
            <w:lang w:val="es-ES"/>
          </w:rPr>
          <w:t>investigacion@colpolsoc.org</w:t>
        </w:r>
      </w:hyperlink>
    </w:p>
    <w:p w14:paraId="45373095" w14:textId="3E28C8F2" w:rsidR="001804A9" w:rsidRPr="00445B08" w:rsidRDefault="001804A9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hyperlink r:id="rId11" w:history="1">
        <w:r w:rsidRPr="00445B08">
          <w:rPr>
            <w:rStyle w:val="Hipervnculo"/>
            <w:rFonts w:ascii="Calibri" w:eastAsia="Calibri" w:hAnsi="Calibri" w:cs="Calibri"/>
            <w:color w:val="508999" w:themeColor="hyperlink" w:themeTint="E6"/>
            <w:lang w:val="es-ES"/>
          </w:rPr>
          <w:t>www.colpolsoc.org</w:t>
        </w:r>
      </w:hyperlink>
    </w:p>
    <w:p w14:paraId="531709F0" w14:textId="3DB1D111" w:rsidR="001804A9" w:rsidRPr="00445B08" w:rsidRDefault="001804A9" w:rsidP="001804A9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 w:rsidRPr="00445B08">
        <w:rPr>
          <w:rFonts w:ascii="Calibri" w:eastAsia="Calibri" w:hAnsi="Calibri" w:cs="Calibri"/>
          <w:color w:val="153D63" w:themeColor="text2" w:themeTint="E6"/>
          <w:lang w:val="es-ES"/>
        </w:rPr>
        <w:t>915 473 480</w:t>
      </w:r>
    </w:p>
    <w:p w14:paraId="60EFC3E6" w14:textId="6911A4AE" w:rsidR="001804A9" w:rsidRPr="00445B08" w:rsidRDefault="007C1BB7" w:rsidP="007C1BB7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hyperlink r:id="rId12" w:history="1">
        <w:r w:rsidRPr="00445B08">
          <w:rPr>
            <w:rStyle w:val="Hipervnculo"/>
            <w:rFonts w:ascii="Calibri" w:eastAsia="Calibri" w:hAnsi="Calibri" w:cs="Calibri"/>
            <w:color w:val="508999" w:themeColor="hyperlink" w:themeTint="E6"/>
            <w:lang w:val="es-ES"/>
          </w:rPr>
          <w:t>https://lobbyeuropeoespana.com/2025/04/21/be_safe-avanza-por-espana/</w:t>
        </w:r>
      </w:hyperlink>
    </w:p>
    <w:p w14:paraId="3DCDA0B9" w14:textId="77777777" w:rsidR="007C1BB7" w:rsidRPr="00445B08" w:rsidRDefault="007C1BB7" w:rsidP="007C1BB7">
      <w:pPr>
        <w:spacing w:after="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</w:p>
    <w:p w14:paraId="5EE26902" w14:textId="77777777" w:rsidR="00533814" w:rsidRDefault="00533814" w:rsidP="001804A9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</w:p>
    <w:p w14:paraId="05E1E3A6" w14:textId="19E0C496" w:rsidR="2EE748EA" w:rsidRPr="00445B08" w:rsidRDefault="003B16A3" w:rsidP="001804A9">
      <w:pPr>
        <w:spacing w:before="240" w:after="240"/>
        <w:jc w:val="both"/>
        <w:rPr>
          <w:rFonts w:ascii="Calibri" w:eastAsia="Calibri" w:hAnsi="Calibri" w:cs="Calibri"/>
          <w:color w:val="153D63" w:themeColor="text2" w:themeTint="E6"/>
          <w:lang w:val="es-ES"/>
        </w:rPr>
      </w:pPr>
      <w:r>
        <w:rPr>
          <w:rFonts w:ascii="Calibri" w:eastAsia="Calibri" w:hAnsi="Calibri" w:cs="Calibri"/>
          <w:noProof/>
          <w:color w:val="0E2841" w:themeColor="text2"/>
          <w:lang w:val="es-ES"/>
        </w:rPr>
        <w:lastRenderedPageBreak/>
        <w:drawing>
          <wp:inline distT="0" distB="0" distL="0" distR="0" wp14:anchorId="5C3BD92D" wp14:editId="723798B3">
            <wp:extent cx="2384277" cy="2978819"/>
            <wp:effectExtent l="0" t="0" r="3810" b="5715"/>
            <wp:docPr id="455556916" name="Picture 1" descr="A poster for a child abuse awarenes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56916" name="Picture 1" descr="A poster for a child abuse awareness even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719" cy="30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B54">
        <w:rPr>
          <w:rFonts w:ascii="Calibri" w:eastAsia="Calibri" w:hAnsi="Calibri" w:cs="Calibri"/>
          <w:noProof/>
          <w:color w:val="0E2841" w:themeColor="text2"/>
          <w:lang w:val="es-ES"/>
        </w:rPr>
        <w:drawing>
          <wp:inline distT="0" distB="0" distL="0" distR="0" wp14:anchorId="562356AE" wp14:editId="57D95C15">
            <wp:extent cx="3553691" cy="2276488"/>
            <wp:effectExtent l="0" t="0" r="2540" b="0"/>
            <wp:docPr id="1932684790" name="Picture 2" descr="A group of people sitting in chairs in front of a projecto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84790" name="Picture 2" descr="A group of people sitting in chairs in front of a projector screen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835" cy="228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75D">
        <w:rPr>
          <w:rFonts w:ascii="Calibri" w:eastAsia="Calibri" w:hAnsi="Calibri" w:cs="Calibri"/>
          <w:noProof/>
          <w:color w:val="0E2841" w:themeColor="text2"/>
          <w:lang w:val="es-ES"/>
        </w:rPr>
        <w:drawing>
          <wp:inline distT="0" distB="0" distL="0" distR="0" wp14:anchorId="1996580F" wp14:editId="7C8BCA67">
            <wp:extent cx="3782936" cy="2837203"/>
            <wp:effectExtent l="0" t="0" r="1905" b="0"/>
            <wp:docPr id="2085152220" name="Picture 3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52220" name="Picture 3" descr="A group of people in a room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082" cy="287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EE748EA" w:rsidRPr="00445B08" w:rsidSect="00365188">
      <w:headerReference w:type="default" r:id="rId16"/>
      <w:footerReference w:type="default" r:id="rId17"/>
      <w:pgSz w:w="12240" w:h="15840"/>
      <w:pgMar w:top="1440" w:right="1440" w:bottom="1440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0A35" w14:textId="77777777" w:rsidR="00E7233A" w:rsidRDefault="00E7233A" w:rsidP="00365188">
      <w:pPr>
        <w:spacing w:after="0" w:line="240" w:lineRule="auto"/>
      </w:pPr>
      <w:r>
        <w:separator/>
      </w:r>
    </w:p>
  </w:endnote>
  <w:endnote w:type="continuationSeparator" w:id="0">
    <w:p w14:paraId="62FBC037" w14:textId="77777777" w:rsidR="00E7233A" w:rsidRDefault="00E7233A" w:rsidP="0036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D32FD1" w14:paraId="53E40162" w14:textId="77777777" w:rsidTr="23D32FD1">
      <w:trPr>
        <w:trHeight w:val="300"/>
      </w:trPr>
      <w:tc>
        <w:tcPr>
          <w:tcW w:w="3120" w:type="dxa"/>
        </w:tcPr>
        <w:p w14:paraId="0F49CF3B" w14:textId="10386A9A" w:rsidR="23D32FD1" w:rsidRDefault="23D32FD1" w:rsidP="23D32FD1">
          <w:pPr>
            <w:pStyle w:val="Encabezado"/>
            <w:ind w:left="-115"/>
          </w:pPr>
        </w:p>
      </w:tc>
      <w:tc>
        <w:tcPr>
          <w:tcW w:w="3120" w:type="dxa"/>
        </w:tcPr>
        <w:p w14:paraId="7355A444" w14:textId="502FF4C4" w:rsidR="23D32FD1" w:rsidRDefault="23D32FD1" w:rsidP="23D32FD1">
          <w:pPr>
            <w:pStyle w:val="Encabezado"/>
            <w:jc w:val="center"/>
          </w:pPr>
        </w:p>
      </w:tc>
      <w:tc>
        <w:tcPr>
          <w:tcW w:w="3120" w:type="dxa"/>
        </w:tcPr>
        <w:p w14:paraId="4B896366" w14:textId="243DF78F" w:rsidR="23D32FD1" w:rsidRDefault="23D32FD1" w:rsidP="23D32FD1">
          <w:pPr>
            <w:pStyle w:val="Encabezado"/>
            <w:ind w:right="-115"/>
            <w:jc w:val="right"/>
          </w:pPr>
        </w:p>
      </w:tc>
    </w:tr>
  </w:tbl>
  <w:p w14:paraId="459D598A" w14:textId="45D19586" w:rsidR="23D32FD1" w:rsidRPr="002648D1" w:rsidRDefault="00D6234A" w:rsidP="00747106">
    <w:pPr>
      <w:pStyle w:val="Piedepgina"/>
      <w:jc w:val="center"/>
      <w:rPr>
        <w:color w:val="FC5000"/>
        <w:sz w:val="16"/>
        <w:szCs w:val="16"/>
        <w:lang w:val="es-ES"/>
      </w:rPr>
    </w:pPr>
    <w:r w:rsidRPr="002648D1">
      <w:rPr>
        <w:color w:val="FC5000"/>
        <w:sz w:val="16"/>
        <w:szCs w:val="16"/>
        <w:lang w:val="es-ES"/>
      </w:rPr>
      <w:t xml:space="preserve">Colegio </w:t>
    </w:r>
    <w:r w:rsidR="00A34075" w:rsidRPr="002648D1">
      <w:rPr>
        <w:color w:val="FC5000"/>
        <w:sz w:val="16"/>
        <w:szCs w:val="16"/>
        <w:lang w:val="es-ES"/>
      </w:rPr>
      <w:t>Profesional de</w:t>
    </w:r>
    <w:r w:rsidRPr="002648D1">
      <w:rPr>
        <w:color w:val="FC5000"/>
        <w:sz w:val="16"/>
        <w:szCs w:val="16"/>
        <w:lang w:val="es-ES"/>
      </w:rPr>
      <w:t xml:space="preserve"> Ciencia Política, Sociología, Relacionales Internacionales y Administración Pública de la Comunidad de Madrid.</w:t>
    </w:r>
  </w:p>
  <w:p w14:paraId="69E2C1A8" w14:textId="14621D3C" w:rsidR="00A34075" w:rsidRPr="002648D1" w:rsidRDefault="00747106" w:rsidP="00747106">
    <w:pPr>
      <w:pStyle w:val="Piedepgina"/>
      <w:jc w:val="center"/>
      <w:rPr>
        <w:color w:val="FC5000"/>
        <w:sz w:val="16"/>
        <w:szCs w:val="16"/>
        <w:lang w:val="es-ES"/>
      </w:rPr>
    </w:pPr>
    <w:r w:rsidRPr="00747106">
      <w:rPr>
        <w:color w:val="FC5000"/>
        <w:sz w:val="16"/>
        <w:szCs w:val="16"/>
        <w:lang w:val="es-ES"/>
      </w:rPr>
      <w:t>Ferraz, 100; 28008 - Madrid. (+34) 915 473 480. colegio@colpolsoc.org.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9586" w14:textId="77777777" w:rsidR="00E7233A" w:rsidRDefault="00E7233A" w:rsidP="00365188">
      <w:pPr>
        <w:spacing w:after="0" w:line="240" w:lineRule="auto"/>
      </w:pPr>
      <w:r>
        <w:separator/>
      </w:r>
    </w:p>
  </w:footnote>
  <w:footnote w:type="continuationSeparator" w:id="0">
    <w:p w14:paraId="4BE00A78" w14:textId="77777777" w:rsidR="00E7233A" w:rsidRDefault="00E7233A" w:rsidP="0036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F65D" w14:textId="05BF5D4F" w:rsidR="00365188" w:rsidRPr="003B3350" w:rsidRDefault="003B3350" w:rsidP="003B3350">
    <w:pPr>
      <w:pStyle w:val="Encabezado"/>
    </w:pPr>
    <w:r w:rsidRPr="003B3350">
      <w:rPr>
        <w:noProof/>
      </w:rPr>
      <w:drawing>
        <wp:anchor distT="0" distB="0" distL="114300" distR="114300" simplePos="0" relativeHeight="251658240" behindDoc="0" locked="0" layoutInCell="1" allowOverlap="1" wp14:anchorId="196B5B1F" wp14:editId="2969F387">
          <wp:simplePos x="0" y="0"/>
          <wp:positionH relativeFrom="column">
            <wp:posOffset>3913990</wp:posOffset>
          </wp:positionH>
          <wp:positionV relativeFrom="paragraph">
            <wp:posOffset>-325099</wp:posOffset>
          </wp:positionV>
          <wp:extent cx="2567940" cy="676910"/>
          <wp:effectExtent l="0" t="0" r="0" b="0"/>
          <wp:wrapSquare wrapText="bothSides"/>
          <wp:docPr id="78587751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77510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DF5A"/>
    <w:multiLevelType w:val="hybridMultilevel"/>
    <w:tmpl w:val="FFFFFFFF"/>
    <w:lvl w:ilvl="0" w:tplc="B2F270F8">
      <w:start w:val="1"/>
      <w:numFmt w:val="decimal"/>
      <w:lvlText w:val="%1."/>
      <w:lvlJc w:val="left"/>
      <w:pPr>
        <w:ind w:left="720" w:hanging="360"/>
      </w:pPr>
    </w:lvl>
    <w:lvl w:ilvl="1" w:tplc="78B06460">
      <w:start w:val="1"/>
      <w:numFmt w:val="lowerLetter"/>
      <w:lvlText w:val="%2."/>
      <w:lvlJc w:val="left"/>
      <w:pPr>
        <w:ind w:left="1440" w:hanging="360"/>
      </w:pPr>
    </w:lvl>
    <w:lvl w:ilvl="2" w:tplc="52DC59B8">
      <w:start w:val="1"/>
      <w:numFmt w:val="lowerRoman"/>
      <w:lvlText w:val="%3."/>
      <w:lvlJc w:val="right"/>
      <w:pPr>
        <w:ind w:left="2160" w:hanging="180"/>
      </w:pPr>
    </w:lvl>
    <w:lvl w:ilvl="3" w:tplc="4AD678FA">
      <w:start w:val="1"/>
      <w:numFmt w:val="decimal"/>
      <w:lvlText w:val="%4."/>
      <w:lvlJc w:val="left"/>
      <w:pPr>
        <w:ind w:left="2880" w:hanging="360"/>
      </w:pPr>
    </w:lvl>
    <w:lvl w:ilvl="4" w:tplc="8916A4E6">
      <w:start w:val="1"/>
      <w:numFmt w:val="lowerLetter"/>
      <w:lvlText w:val="%5."/>
      <w:lvlJc w:val="left"/>
      <w:pPr>
        <w:ind w:left="3600" w:hanging="360"/>
      </w:pPr>
    </w:lvl>
    <w:lvl w:ilvl="5" w:tplc="B9FA4BD2">
      <w:start w:val="1"/>
      <w:numFmt w:val="lowerRoman"/>
      <w:lvlText w:val="%6."/>
      <w:lvlJc w:val="right"/>
      <w:pPr>
        <w:ind w:left="4320" w:hanging="180"/>
      </w:pPr>
    </w:lvl>
    <w:lvl w:ilvl="6" w:tplc="048A7CB8">
      <w:start w:val="1"/>
      <w:numFmt w:val="decimal"/>
      <w:lvlText w:val="%7."/>
      <w:lvlJc w:val="left"/>
      <w:pPr>
        <w:ind w:left="5040" w:hanging="360"/>
      </w:pPr>
    </w:lvl>
    <w:lvl w:ilvl="7" w:tplc="FE98A558">
      <w:start w:val="1"/>
      <w:numFmt w:val="lowerLetter"/>
      <w:lvlText w:val="%8."/>
      <w:lvlJc w:val="left"/>
      <w:pPr>
        <w:ind w:left="5760" w:hanging="360"/>
      </w:pPr>
    </w:lvl>
    <w:lvl w:ilvl="8" w:tplc="97A07C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A25A5"/>
    <w:multiLevelType w:val="hybridMultilevel"/>
    <w:tmpl w:val="FFFFFFFF"/>
    <w:lvl w:ilvl="0" w:tplc="D4A08B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24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4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D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4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CE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C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D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C1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BCE6A"/>
    <w:multiLevelType w:val="hybridMultilevel"/>
    <w:tmpl w:val="4CEC8CD2"/>
    <w:lvl w:ilvl="0" w:tplc="E146D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CE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A1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8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A9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E4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A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7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2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0108">
    <w:abstractNumId w:val="2"/>
  </w:num>
  <w:num w:numId="2" w16cid:durableId="1589118139">
    <w:abstractNumId w:val="1"/>
  </w:num>
  <w:num w:numId="3" w16cid:durableId="4997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F1CE4"/>
    <w:rsid w:val="00005503"/>
    <w:rsid w:val="00005CA1"/>
    <w:rsid w:val="00015D24"/>
    <w:rsid w:val="000209C3"/>
    <w:rsid w:val="0003238C"/>
    <w:rsid w:val="000479E7"/>
    <w:rsid w:val="00053688"/>
    <w:rsid w:val="00054BE4"/>
    <w:rsid w:val="00057938"/>
    <w:rsid w:val="00061EEE"/>
    <w:rsid w:val="000656BB"/>
    <w:rsid w:val="00073513"/>
    <w:rsid w:val="0008042C"/>
    <w:rsid w:val="00080611"/>
    <w:rsid w:val="0008296F"/>
    <w:rsid w:val="00083A53"/>
    <w:rsid w:val="000A0C84"/>
    <w:rsid w:val="000A2FB7"/>
    <w:rsid w:val="000B14B5"/>
    <w:rsid w:val="000B1740"/>
    <w:rsid w:val="000C3B25"/>
    <w:rsid w:val="000F6BEB"/>
    <w:rsid w:val="00100018"/>
    <w:rsid w:val="001059B7"/>
    <w:rsid w:val="001107F4"/>
    <w:rsid w:val="00123D6D"/>
    <w:rsid w:val="001259CA"/>
    <w:rsid w:val="00137D8F"/>
    <w:rsid w:val="00142D65"/>
    <w:rsid w:val="00151497"/>
    <w:rsid w:val="00155EE3"/>
    <w:rsid w:val="001804A9"/>
    <w:rsid w:val="001812FC"/>
    <w:rsid w:val="00187CDA"/>
    <w:rsid w:val="00195F40"/>
    <w:rsid w:val="001A47A5"/>
    <w:rsid w:val="001C0967"/>
    <w:rsid w:val="001D4F2B"/>
    <w:rsid w:val="001E4B15"/>
    <w:rsid w:val="001F4D11"/>
    <w:rsid w:val="00201847"/>
    <w:rsid w:val="00214AEA"/>
    <w:rsid w:val="00237762"/>
    <w:rsid w:val="00242EB0"/>
    <w:rsid w:val="00252035"/>
    <w:rsid w:val="00252A94"/>
    <w:rsid w:val="00253B91"/>
    <w:rsid w:val="0026336F"/>
    <w:rsid w:val="0026460A"/>
    <w:rsid w:val="002648D1"/>
    <w:rsid w:val="00270FE9"/>
    <w:rsid w:val="0027564E"/>
    <w:rsid w:val="00283EF2"/>
    <w:rsid w:val="0029374C"/>
    <w:rsid w:val="002966AC"/>
    <w:rsid w:val="002977FC"/>
    <w:rsid w:val="002A301D"/>
    <w:rsid w:val="002B715E"/>
    <w:rsid w:val="002D6892"/>
    <w:rsid w:val="002E2FCE"/>
    <w:rsid w:val="002E39E6"/>
    <w:rsid w:val="002F28DB"/>
    <w:rsid w:val="002F54C5"/>
    <w:rsid w:val="00303F21"/>
    <w:rsid w:val="00305E9E"/>
    <w:rsid w:val="00313588"/>
    <w:rsid w:val="003145C4"/>
    <w:rsid w:val="00326BE8"/>
    <w:rsid w:val="0032763C"/>
    <w:rsid w:val="003337C6"/>
    <w:rsid w:val="0034138C"/>
    <w:rsid w:val="00344101"/>
    <w:rsid w:val="00344A58"/>
    <w:rsid w:val="00352468"/>
    <w:rsid w:val="00365188"/>
    <w:rsid w:val="00381C85"/>
    <w:rsid w:val="003949BC"/>
    <w:rsid w:val="003A441A"/>
    <w:rsid w:val="003B16A3"/>
    <w:rsid w:val="003B16EB"/>
    <w:rsid w:val="003B3350"/>
    <w:rsid w:val="003B74CC"/>
    <w:rsid w:val="003C2342"/>
    <w:rsid w:val="003C5A8D"/>
    <w:rsid w:val="003D2101"/>
    <w:rsid w:val="003D3D72"/>
    <w:rsid w:val="003E0A7C"/>
    <w:rsid w:val="003F1FC8"/>
    <w:rsid w:val="003F439A"/>
    <w:rsid w:val="003F4727"/>
    <w:rsid w:val="003F7285"/>
    <w:rsid w:val="0040124D"/>
    <w:rsid w:val="00404BAA"/>
    <w:rsid w:val="0040561B"/>
    <w:rsid w:val="004103B4"/>
    <w:rsid w:val="004306E6"/>
    <w:rsid w:val="0043478F"/>
    <w:rsid w:val="00436923"/>
    <w:rsid w:val="00437888"/>
    <w:rsid w:val="00441048"/>
    <w:rsid w:val="00444B54"/>
    <w:rsid w:val="00445B08"/>
    <w:rsid w:val="00454BBC"/>
    <w:rsid w:val="0046085C"/>
    <w:rsid w:val="00462743"/>
    <w:rsid w:val="00475C55"/>
    <w:rsid w:val="004808AD"/>
    <w:rsid w:val="0049421B"/>
    <w:rsid w:val="004A00B4"/>
    <w:rsid w:val="004A0775"/>
    <w:rsid w:val="004A153E"/>
    <w:rsid w:val="004A67C4"/>
    <w:rsid w:val="004B3105"/>
    <w:rsid w:val="004B38F8"/>
    <w:rsid w:val="004C2E01"/>
    <w:rsid w:val="004C66E0"/>
    <w:rsid w:val="004C6C97"/>
    <w:rsid w:val="004E59F7"/>
    <w:rsid w:val="004F10EE"/>
    <w:rsid w:val="004F18FB"/>
    <w:rsid w:val="004F6799"/>
    <w:rsid w:val="005169C9"/>
    <w:rsid w:val="00516BAE"/>
    <w:rsid w:val="005215D1"/>
    <w:rsid w:val="0052605D"/>
    <w:rsid w:val="00527082"/>
    <w:rsid w:val="00531C72"/>
    <w:rsid w:val="00533074"/>
    <w:rsid w:val="00533814"/>
    <w:rsid w:val="00533AD7"/>
    <w:rsid w:val="0054292C"/>
    <w:rsid w:val="00543787"/>
    <w:rsid w:val="00545C24"/>
    <w:rsid w:val="00546945"/>
    <w:rsid w:val="0055228D"/>
    <w:rsid w:val="00553DFC"/>
    <w:rsid w:val="00560E8C"/>
    <w:rsid w:val="00563845"/>
    <w:rsid w:val="00573536"/>
    <w:rsid w:val="00575895"/>
    <w:rsid w:val="00581275"/>
    <w:rsid w:val="00591E4F"/>
    <w:rsid w:val="00592353"/>
    <w:rsid w:val="00597DF9"/>
    <w:rsid w:val="005A05E1"/>
    <w:rsid w:val="005A6AA6"/>
    <w:rsid w:val="005B7D1B"/>
    <w:rsid w:val="005C030E"/>
    <w:rsid w:val="005D0A16"/>
    <w:rsid w:val="005D3351"/>
    <w:rsid w:val="005D36B5"/>
    <w:rsid w:val="005E458B"/>
    <w:rsid w:val="005F4113"/>
    <w:rsid w:val="005F4406"/>
    <w:rsid w:val="005F7D87"/>
    <w:rsid w:val="0061496E"/>
    <w:rsid w:val="00621EFF"/>
    <w:rsid w:val="006332EF"/>
    <w:rsid w:val="00651169"/>
    <w:rsid w:val="006543F0"/>
    <w:rsid w:val="00667B32"/>
    <w:rsid w:val="00671E70"/>
    <w:rsid w:val="00672E70"/>
    <w:rsid w:val="00673444"/>
    <w:rsid w:val="00693EA6"/>
    <w:rsid w:val="00694189"/>
    <w:rsid w:val="006A1EC8"/>
    <w:rsid w:val="006A22B6"/>
    <w:rsid w:val="006B32A3"/>
    <w:rsid w:val="006C0011"/>
    <w:rsid w:val="006D72ED"/>
    <w:rsid w:val="006E6C4F"/>
    <w:rsid w:val="006F4682"/>
    <w:rsid w:val="00706AA6"/>
    <w:rsid w:val="0071068F"/>
    <w:rsid w:val="00734CC4"/>
    <w:rsid w:val="00747106"/>
    <w:rsid w:val="007501FB"/>
    <w:rsid w:val="007741CB"/>
    <w:rsid w:val="00782CAC"/>
    <w:rsid w:val="007872C9"/>
    <w:rsid w:val="00791F2D"/>
    <w:rsid w:val="00795E70"/>
    <w:rsid w:val="007A1810"/>
    <w:rsid w:val="007A3130"/>
    <w:rsid w:val="007B3598"/>
    <w:rsid w:val="007C1BB7"/>
    <w:rsid w:val="007D3017"/>
    <w:rsid w:val="007E199C"/>
    <w:rsid w:val="007E42A8"/>
    <w:rsid w:val="007E6FF0"/>
    <w:rsid w:val="007F0878"/>
    <w:rsid w:val="007F1745"/>
    <w:rsid w:val="007F1A09"/>
    <w:rsid w:val="007F7E5A"/>
    <w:rsid w:val="00812438"/>
    <w:rsid w:val="00820935"/>
    <w:rsid w:val="00820ED8"/>
    <w:rsid w:val="0083359C"/>
    <w:rsid w:val="008343C6"/>
    <w:rsid w:val="00835D96"/>
    <w:rsid w:val="00851B86"/>
    <w:rsid w:val="008567A4"/>
    <w:rsid w:val="0085719B"/>
    <w:rsid w:val="008617BC"/>
    <w:rsid w:val="00864630"/>
    <w:rsid w:val="00874266"/>
    <w:rsid w:val="0087535F"/>
    <w:rsid w:val="00883631"/>
    <w:rsid w:val="008A2DD4"/>
    <w:rsid w:val="008B127B"/>
    <w:rsid w:val="008E475D"/>
    <w:rsid w:val="008E4ED5"/>
    <w:rsid w:val="008F5D2A"/>
    <w:rsid w:val="009128FE"/>
    <w:rsid w:val="00926DD9"/>
    <w:rsid w:val="009315A3"/>
    <w:rsid w:val="00933BD2"/>
    <w:rsid w:val="00944F62"/>
    <w:rsid w:val="009561FF"/>
    <w:rsid w:val="009634B3"/>
    <w:rsid w:val="009662DF"/>
    <w:rsid w:val="0098368A"/>
    <w:rsid w:val="009844C9"/>
    <w:rsid w:val="009874C3"/>
    <w:rsid w:val="00990C6B"/>
    <w:rsid w:val="009B1154"/>
    <w:rsid w:val="009C1F2D"/>
    <w:rsid w:val="009D224E"/>
    <w:rsid w:val="009F2BA0"/>
    <w:rsid w:val="00A012CE"/>
    <w:rsid w:val="00A21759"/>
    <w:rsid w:val="00A25A24"/>
    <w:rsid w:val="00A267D5"/>
    <w:rsid w:val="00A31835"/>
    <w:rsid w:val="00A34075"/>
    <w:rsid w:val="00A3496D"/>
    <w:rsid w:val="00A36D72"/>
    <w:rsid w:val="00A444AD"/>
    <w:rsid w:val="00A469C9"/>
    <w:rsid w:val="00A53FED"/>
    <w:rsid w:val="00A61431"/>
    <w:rsid w:val="00A64D37"/>
    <w:rsid w:val="00A74189"/>
    <w:rsid w:val="00A826CF"/>
    <w:rsid w:val="00A931F8"/>
    <w:rsid w:val="00A951C9"/>
    <w:rsid w:val="00AD2732"/>
    <w:rsid w:val="00AE323A"/>
    <w:rsid w:val="00AE5895"/>
    <w:rsid w:val="00AF5D7B"/>
    <w:rsid w:val="00B02F9B"/>
    <w:rsid w:val="00B10F64"/>
    <w:rsid w:val="00B15A3D"/>
    <w:rsid w:val="00B41C6D"/>
    <w:rsid w:val="00B4618A"/>
    <w:rsid w:val="00B46289"/>
    <w:rsid w:val="00B63028"/>
    <w:rsid w:val="00B729CC"/>
    <w:rsid w:val="00B73D85"/>
    <w:rsid w:val="00B74C65"/>
    <w:rsid w:val="00B950D3"/>
    <w:rsid w:val="00BC045A"/>
    <w:rsid w:val="00BC3023"/>
    <w:rsid w:val="00BC3D1F"/>
    <w:rsid w:val="00BC6883"/>
    <w:rsid w:val="00BD36E5"/>
    <w:rsid w:val="00BE5FBF"/>
    <w:rsid w:val="00BF4CCF"/>
    <w:rsid w:val="00C0024E"/>
    <w:rsid w:val="00C02CBC"/>
    <w:rsid w:val="00C24248"/>
    <w:rsid w:val="00C259BB"/>
    <w:rsid w:val="00C43BC9"/>
    <w:rsid w:val="00C46C53"/>
    <w:rsid w:val="00C51400"/>
    <w:rsid w:val="00C600E8"/>
    <w:rsid w:val="00C62C36"/>
    <w:rsid w:val="00C67E32"/>
    <w:rsid w:val="00C7124B"/>
    <w:rsid w:val="00C71DC7"/>
    <w:rsid w:val="00C82809"/>
    <w:rsid w:val="00C855FD"/>
    <w:rsid w:val="00C91A05"/>
    <w:rsid w:val="00C92576"/>
    <w:rsid w:val="00CA46DB"/>
    <w:rsid w:val="00CB6A09"/>
    <w:rsid w:val="00CD0A22"/>
    <w:rsid w:val="00CD7E36"/>
    <w:rsid w:val="00CE05D9"/>
    <w:rsid w:val="00CE119F"/>
    <w:rsid w:val="00CE18F1"/>
    <w:rsid w:val="00CE4DD7"/>
    <w:rsid w:val="00CF2895"/>
    <w:rsid w:val="00D036F7"/>
    <w:rsid w:val="00D05EE6"/>
    <w:rsid w:val="00D240E3"/>
    <w:rsid w:val="00D51F6D"/>
    <w:rsid w:val="00D54613"/>
    <w:rsid w:val="00D6015A"/>
    <w:rsid w:val="00D6234A"/>
    <w:rsid w:val="00D63371"/>
    <w:rsid w:val="00D76840"/>
    <w:rsid w:val="00D820FC"/>
    <w:rsid w:val="00D82691"/>
    <w:rsid w:val="00D8407E"/>
    <w:rsid w:val="00D8425F"/>
    <w:rsid w:val="00D979A5"/>
    <w:rsid w:val="00D97BA6"/>
    <w:rsid w:val="00DA3251"/>
    <w:rsid w:val="00DA426B"/>
    <w:rsid w:val="00DA47CB"/>
    <w:rsid w:val="00DA4FF8"/>
    <w:rsid w:val="00DA7EEB"/>
    <w:rsid w:val="00DC26E4"/>
    <w:rsid w:val="00DC300E"/>
    <w:rsid w:val="00DE33CC"/>
    <w:rsid w:val="00DF7C4C"/>
    <w:rsid w:val="00E038FD"/>
    <w:rsid w:val="00E06892"/>
    <w:rsid w:val="00E12085"/>
    <w:rsid w:val="00E16B50"/>
    <w:rsid w:val="00E1770A"/>
    <w:rsid w:val="00E45ACC"/>
    <w:rsid w:val="00E4748A"/>
    <w:rsid w:val="00E53599"/>
    <w:rsid w:val="00E60B9F"/>
    <w:rsid w:val="00E710A1"/>
    <w:rsid w:val="00E7233A"/>
    <w:rsid w:val="00E729ED"/>
    <w:rsid w:val="00E82CDF"/>
    <w:rsid w:val="00E83ACA"/>
    <w:rsid w:val="00E9115C"/>
    <w:rsid w:val="00EA0C5D"/>
    <w:rsid w:val="00EA3444"/>
    <w:rsid w:val="00EA4B21"/>
    <w:rsid w:val="00EA675D"/>
    <w:rsid w:val="00EC2904"/>
    <w:rsid w:val="00ED1895"/>
    <w:rsid w:val="00EF2C23"/>
    <w:rsid w:val="00F0716D"/>
    <w:rsid w:val="00F10E4D"/>
    <w:rsid w:val="00F322F2"/>
    <w:rsid w:val="00F32943"/>
    <w:rsid w:val="00F40C72"/>
    <w:rsid w:val="00F43918"/>
    <w:rsid w:val="00F50DEC"/>
    <w:rsid w:val="00F65F0A"/>
    <w:rsid w:val="00F71C5C"/>
    <w:rsid w:val="00F81F9F"/>
    <w:rsid w:val="00F8475D"/>
    <w:rsid w:val="00F86210"/>
    <w:rsid w:val="00F91803"/>
    <w:rsid w:val="00F93F47"/>
    <w:rsid w:val="00FA0515"/>
    <w:rsid w:val="00FA4BB4"/>
    <w:rsid w:val="00FA537D"/>
    <w:rsid w:val="00FB010B"/>
    <w:rsid w:val="00FB07AB"/>
    <w:rsid w:val="00FB0C37"/>
    <w:rsid w:val="00FB30DC"/>
    <w:rsid w:val="00FB733F"/>
    <w:rsid w:val="00FB7E7C"/>
    <w:rsid w:val="00FF1120"/>
    <w:rsid w:val="0290821B"/>
    <w:rsid w:val="036C1058"/>
    <w:rsid w:val="0374F966"/>
    <w:rsid w:val="03C58397"/>
    <w:rsid w:val="0457628B"/>
    <w:rsid w:val="04A4B4DD"/>
    <w:rsid w:val="04BA1818"/>
    <w:rsid w:val="0579E517"/>
    <w:rsid w:val="08BFE8BA"/>
    <w:rsid w:val="08C82961"/>
    <w:rsid w:val="08DB70BF"/>
    <w:rsid w:val="08FEC74D"/>
    <w:rsid w:val="09A478FD"/>
    <w:rsid w:val="0AACCD1B"/>
    <w:rsid w:val="0BCE4C91"/>
    <w:rsid w:val="0C058BE5"/>
    <w:rsid w:val="0C72E7F1"/>
    <w:rsid w:val="0DD7D01A"/>
    <w:rsid w:val="0FC6D304"/>
    <w:rsid w:val="106B4DEC"/>
    <w:rsid w:val="12B99482"/>
    <w:rsid w:val="13388BCA"/>
    <w:rsid w:val="13AA8FF4"/>
    <w:rsid w:val="155DC260"/>
    <w:rsid w:val="15B72058"/>
    <w:rsid w:val="17302D9A"/>
    <w:rsid w:val="1760A501"/>
    <w:rsid w:val="181EA807"/>
    <w:rsid w:val="19779963"/>
    <w:rsid w:val="19BC9B3B"/>
    <w:rsid w:val="19D36B35"/>
    <w:rsid w:val="19FC3EA2"/>
    <w:rsid w:val="1A8CA04F"/>
    <w:rsid w:val="1ABB2A8C"/>
    <w:rsid w:val="1D7088E4"/>
    <w:rsid w:val="1D83CABF"/>
    <w:rsid w:val="1E6E4DA8"/>
    <w:rsid w:val="1FFD7DC5"/>
    <w:rsid w:val="200EE04E"/>
    <w:rsid w:val="204CE979"/>
    <w:rsid w:val="20F11CCC"/>
    <w:rsid w:val="21BFA019"/>
    <w:rsid w:val="21CFEE54"/>
    <w:rsid w:val="22C3E7F1"/>
    <w:rsid w:val="238CEC09"/>
    <w:rsid w:val="23D32FD1"/>
    <w:rsid w:val="257650FC"/>
    <w:rsid w:val="25F0F5B8"/>
    <w:rsid w:val="27358AC7"/>
    <w:rsid w:val="2742B720"/>
    <w:rsid w:val="27BFF940"/>
    <w:rsid w:val="2987E152"/>
    <w:rsid w:val="2A6A84D5"/>
    <w:rsid w:val="2A9F1CE4"/>
    <w:rsid w:val="2CDDEEC7"/>
    <w:rsid w:val="2D762B8B"/>
    <w:rsid w:val="2EE748EA"/>
    <w:rsid w:val="2FC2FF5A"/>
    <w:rsid w:val="31082189"/>
    <w:rsid w:val="323722B4"/>
    <w:rsid w:val="33EC24EB"/>
    <w:rsid w:val="36019856"/>
    <w:rsid w:val="37BA5382"/>
    <w:rsid w:val="3B1624E5"/>
    <w:rsid w:val="3B4F3256"/>
    <w:rsid w:val="3C8B38B0"/>
    <w:rsid w:val="3DFF38E5"/>
    <w:rsid w:val="3F7E45CD"/>
    <w:rsid w:val="3FCE92A6"/>
    <w:rsid w:val="40A76E95"/>
    <w:rsid w:val="42144131"/>
    <w:rsid w:val="44AD1D98"/>
    <w:rsid w:val="4538C88F"/>
    <w:rsid w:val="47CED2E4"/>
    <w:rsid w:val="499B6255"/>
    <w:rsid w:val="49E62416"/>
    <w:rsid w:val="4AAB42A2"/>
    <w:rsid w:val="4B1552AE"/>
    <w:rsid w:val="4BA42982"/>
    <w:rsid w:val="4DA3D78E"/>
    <w:rsid w:val="4F807C9A"/>
    <w:rsid w:val="504DB45D"/>
    <w:rsid w:val="506609D7"/>
    <w:rsid w:val="512824AC"/>
    <w:rsid w:val="51E2D819"/>
    <w:rsid w:val="52A8B3FC"/>
    <w:rsid w:val="561A78DA"/>
    <w:rsid w:val="56687229"/>
    <w:rsid w:val="56A28A6B"/>
    <w:rsid w:val="56D9245B"/>
    <w:rsid w:val="57169945"/>
    <w:rsid w:val="572AD4BD"/>
    <w:rsid w:val="59FAB228"/>
    <w:rsid w:val="5B68A722"/>
    <w:rsid w:val="5C774116"/>
    <w:rsid w:val="5CA67084"/>
    <w:rsid w:val="5CAF8B91"/>
    <w:rsid w:val="5E33EDED"/>
    <w:rsid w:val="5E42E7C7"/>
    <w:rsid w:val="5E507317"/>
    <w:rsid w:val="60DC597A"/>
    <w:rsid w:val="614CE2DA"/>
    <w:rsid w:val="61692543"/>
    <w:rsid w:val="618FBDCB"/>
    <w:rsid w:val="62096BF6"/>
    <w:rsid w:val="623E487F"/>
    <w:rsid w:val="63F69C16"/>
    <w:rsid w:val="6782788F"/>
    <w:rsid w:val="67EBD85B"/>
    <w:rsid w:val="682105B3"/>
    <w:rsid w:val="69239677"/>
    <w:rsid w:val="6C780B2C"/>
    <w:rsid w:val="6CDA1F8F"/>
    <w:rsid w:val="6D97C419"/>
    <w:rsid w:val="6E6937AC"/>
    <w:rsid w:val="6F363C0B"/>
    <w:rsid w:val="6FAA976F"/>
    <w:rsid w:val="712B9640"/>
    <w:rsid w:val="736D6A74"/>
    <w:rsid w:val="73E99822"/>
    <w:rsid w:val="73E9F40D"/>
    <w:rsid w:val="73FE8E6E"/>
    <w:rsid w:val="7416F4ED"/>
    <w:rsid w:val="75F7766A"/>
    <w:rsid w:val="76F03F1E"/>
    <w:rsid w:val="777382ED"/>
    <w:rsid w:val="782F09BB"/>
    <w:rsid w:val="7A680DBB"/>
    <w:rsid w:val="7B3131D0"/>
    <w:rsid w:val="7C34A662"/>
    <w:rsid w:val="7DB6BAD7"/>
    <w:rsid w:val="7E02F270"/>
    <w:rsid w:val="7EE432F6"/>
    <w:rsid w:val="7F4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1CE4"/>
  <w15:chartTrackingRefBased/>
  <w15:docId w15:val="{72E26799-DC47-48D4-99C7-3A26CCAF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Textoennegrita">
    <w:name w:val="Strong"/>
    <w:basedOn w:val="Fuentedeprrafopredeter"/>
    <w:uiPriority w:val="22"/>
    <w:qFormat/>
    <w:rsid w:val="0087426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735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35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C5A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A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A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A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A8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306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3BD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93F4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65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188"/>
  </w:style>
  <w:style w:type="paragraph" w:styleId="Piedepgina">
    <w:name w:val="footer"/>
    <w:basedOn w:val="Normal"/>
    <w:link w:val="PiedepginaCar"/>
    <w:uiPriority w:val="99"/>
    <w:unhideWhenUsed/>
    <w:rsid w:val="00365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188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bbyeuropeoespana.com/2025/04/21/be_safe-avanza-por-espan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lpolsoc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mailto:investigacion@colpolsoc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862c2-eb88-4cb6-8ba3-670a2c624a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491401EBCE746BBAF634703EB9EC1" ma:contentTypeVersion="15" ma:contentTypeDescription="Crear nuevo documento." ma:contentTypeScope="" ma:versionID="2975298d448876d0bf7d13526b0db148">
  <xsd:schema xmlns:xsd="http://www.w3.org/2001/XMLSchema" xmlns:xs="http://www.w3.org/2001/XMLSchema" xmlns:p="http://schemas.microsoft.com/office/2006/metadata/properties" xmlns:ns2="3db862c2-eb88-4cb6-8ba3-670a2c624ae4" xmlns:ns3="8cb03f49-6ae1-42ed-8c69-7a08494301bc" targetNamespace="http://schemas.microsoft.com/office/2006/metadata/properties" ma:root="true" ma:fieldsID="b31def24382eb03f5881116029901300" ns2:_="" ns3:_="">
    <xsd:import namespace="3db862c2-eb88-4cb6-8ba3-670a2c624ae4"/>
    <xsd:import namespace="8cb03f49-6ae1-42ed-8c69-7a0849430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862c2-eb88-4cb6-8ba3-670a2c624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0edf6c9-f161-4b01-8da5-750d8971f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03f49-6ae1-42ed-8c69-7a0849430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E9CFC-2E86-4DDE-A4CA-FFBD82866071}">
  <ds:schemaRefs>
    <ds:schemaRef ds:uri="http://schemas.microsoft.com/office/2006/metadata/properties"/>
    <ds:schemaRef ds:uri="http://schemas.microsoft.com/office/infopath/2007/PartnerControls"/>
    <ds:schemaRef ds:uri="3db862c2-eb88-4cb6-8ba3-670a2c624ae4"/>
  </ds:schemaRefs>
</ds:datastoreItem>
</file>

<file path=customXml/itemProps2.xml><?xml version="1.0" encoding="utf-8"?>
<ds:datastoreItem xmlns:ds="http://schemas.openxmlformats.org/officeDocument/2006/customXml" ds:itemID="{68A49ABD-DE76-4359-A5EC-7A11881D8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A4682-7B3A-4C32-84FD-F98E037E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862c2-eb88-4cb6-8ba3-670a2c624ae4"/>
    <ds:schemaRef ds:uri="8cb03f49-6ae1-42ed-8c69-7a0849430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Links>
    <vt:vector size="18" baseType="variant">
      <vt:variant>
        <vt:i4>1900585</vt:i4>
      </vt:variant>
      <vt:variant>
        <vt:i4>6</vt:i4>
      </vt:variant>
      <vt:variant>
        <vt:i4>0</vt:i4>
      </vt:variant>
      <vt:variant>
        <vt:i4>5</vt:i4>
      </vt:variant>
      <vt:variant>
        <vt:lpwstr>https://lobbyeuropeoespana.com/2025/04/21/be_safe-avanza-por-espana/</vt:lpwstr>
      </vt:variant>
      <vt:variant>
        <vt:lpwstr/>
      </vt:variant>
      <vt:variant>
        <vt:i4>5439504</vt:i4>
      </vt:variant>
      <vt:variant>
        <vt:i4>3</vt:i4>
      </vt:variant>
      <vt:variant>
        <vt:i4>0</vt:i4>
      </vt:variant>
      <vt:variant>
        <vt:i4>5</vt:i4>
      </vt:variant>
      <vt:variant>
        <vt:lpwstr>http://www.colpolsoc.org/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mailto:investigacion@colpolsoc.org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Rivera Mateos</dc:creator>
  <cp:keywords/>
  <dc:description/>
  <cp:lastModifiedBy>Laura Díaz Chorne</cp:lastModifiedBy>
  <cp:revision>2</cp:revision>
  <dcterms:created xsi:type="dcterms:W3CDTF">2025-05-30T12:13:00Z</dcterms:created>
  <dcterms:modified xsi:type="dcterms:W3CDTF">2025-05-30T12:13:00Z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0x01010054F491401EBCE746BBAF634703EB9EC1</vt:lpwstr>
  </property>
  <property fmtid="{D5CDD505-2E9C-101B-9397-08002B2CF9AE}" pid="3" name="MediaServiceImageTags">
    <vt:lpwstr/>
  </property>
</Properties>
</file>